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480" w:lineRule="auto"/>
        <w:rPr/>
      </w:pPr>
      <w:r w:rsidDel="00000000" w:rsidR="00000000" w:rsidRPr="00000000">
        <w:rPr>
          <w:rtl w:val="0"/>
        </w:rPr>
        <w:t xml:space="preserve">Marnilla Metwaly </w:t>
      </w:r>
    </w:p>
    <w:p w:rsidR="00000000" w:rsidDel="00000000" w:rsidP="00000000" w:rsidRDefault="00000000" w:rsidRPr="00000000" w14:paraId="00000002">
      <w:pPr>
        <w:spacing w:line="480" w:lineRule="auto"/>
        <w:rPr/>
      </w:pPr>
      <w:r w:rsidDel="00000000" w:rsidR="00000000" w:rsidRPr="00000000">
        <w:rPr>
          <w:rFonts w:ascii="Arial" w:cs="Arial" w:eastAsia="Arial" w:hAnsi="Arial"/>
          <w:sz w:val="22"/>
          <w:szCs w:val="22"/>
          <w:rtl w:val="0"/>
        </w:rPr>
        <w:t xml:space="preserve">76-100 Z Prof. Mary Queen</w:t>
      </w:r>
      <w:r w:rsidDel="00000000" w:rsidR="00000000" w:rsidRPr="00000000">
        <w:rPr>
          <w:rtl w:val="0"/>
        </w:rPr>
      </w:r>
    </w:p>
    <w:p w:rsidR="00000000" w:rsidDel="00000000" w:rsidP="00000000" w:rsidRDefault="00000000" w:rsidRPr="00000000" w14:paraId="00000003">
      <w:pPr>
        <w:spacing w:line="480" w:lineRule="auto"/>
        <w:rPr/>
      </w:pPr>
      <w:r w:rsidDel="00000000" w:rsidR="00000000" w:rsidRPr="00000000">
        <w:rPr>
          <w:rtl w:val="0"/>
        </w:rPr>
        <w:t xml:space="preserve">Final draft </w:t>
      </w:r>
    </w:p>
    <w:p w:rsidR="00000000" w:rsidDel="00000000" w:rsidP="00000000" w:rsidRDefault="00000000" w:rsidRPr="00000000" w14:paraId="00000004">
      <w:pPr>
        <w:spacing w:line="480" w:lineRule="auto"/>
        <w:rPr/>
      </w:pPr>
      <w:r w:rsidDel="00000000" w:rsidR="00000000" w:rsidRPr="00000000">
        <w:rPr>
          <w:rtl w:val="0"/>
        </w:rPr>
        <w:t xml:space="preserve">18/11/2024</w:t>
      </w:r>
    </w:p>
    <w:p w:rsidR="00000000" w:rsidDel="00000000" w:rsidP="00000000" w:rsidRDefault="00000000" w:rsidRPr="00000000" w14:paraId="00000005">
      <w:pPr>
        <w:spacing w:line="480" w:lineRule="auto"/>
        <w:jc w:val="center"/>
        <w:rPr/>
      </w:pPr>
      <w:r w:rsidDel="00000000" w:rsidR="00000000" w:rsidRPr="00000000">
        <w:rPr>
          <w:b w:val="1"/>
          <w:rtl w:val="0"/>
        </w:rPr>
        <w:t xml:space="preserve">The Multilingual Journey in the Gulf</w:t>
      </w:r>
      <w:r w:rsidDel="00000000" w:rsidR="00000000" w:rsidRPr="00000000">
        <w:rPr>
          <w:rtl w:val="0"/>
        </w:rPr>
      </w:r>
    </w:p>
    <w:p w:rsidR="00000000" w:rsidDel="00000000" w:rsidP="00000000" w:rsidRDefault="00000000" w:rsidRPr="00000000" w14:paraId="00000006">
      <w:pPr>
        <w:spacing w:line="480" w:lineRule="auto"/>
        <w:ind w:firstLine="720"/>
        <w:rPr/>
      </w:pPr>
      <w:r w:rsidDel="00000000" w:rsidR="00000000" w:rsidRPr="00000000">
        <w:rPr>
          <w:rtl w:val="0"/>
        </w:rPr>
        <w:t xml:space="preserve">Have you ever wondered how being multilingual might affect your sense of belonging and identity? In the Gulf region, many young people use English and Arabic in everyday interaction. Most students use English in their studies and Arabic with their families. This is a great skill for speaking more than one language. However, scholars shed light on the tension created by using two languages. Young people may feel torn between school and home. This can confuse them about who they are and where they belong. Researchers like Hillman (2022), Hopkyns et al.,(2021), and Taha-Thomure (2022) have looked at these feelings of shame and confusion. They found that these kids are changing their language based on the community they are with. This helps them to feel they belong to each community. Blommaert and Varis’s (2015) modern identity framework can help us understand these actions. they explain two important concepts; First, how each person can have more than one identity and can change them based on each micro-hegemony, </w:t>
      </w:r>
      <w:r w:rsidDel="00000000" w:rsidR="00000000" w:rsidRPr="00000000">
        <w:rPr>
          <w:rtl w:val="0"/>
        </w:rPr>
        <w:t xml:space="preserve">which they define as ”a blending within one individual life-project of several micro-hegemonies valid in specific segments of life and behavior, and provide the ‘most logical’ solution (or the ‘truth’) within these segments” (</w:t>
      </w:r>
      <w:r w:rsidDel="00000000" w:rsidR="00000000" w:rsidRPr="00000000">
        <w:rPr>
          <w:rtl w:val="0"/>
        </w:rPr>
        <w:t xml:space="preserve">Blommaert &amp; Varis, 2015, </w:t>
      </w:r>
      <w:r w:rsidDel="00000000" w:rsidR="00000000" w:rsidRPr="00000000">
        <w:rPr>
          <w:rtl w:val="0"/>
        </w:rPr>
        <w:t xml:space="preserve">p.4)</w:t>
      </w:r>
      <w:r w:rsidDel="00000000" w:rsidR="00000000" w:rsidRPr="00000000">
        <w:rPr>
          <w:rtl w:val="0"/>
        </w:rPr>
        <w:t xml:space="preserve">. For instance, young people in the Gulf may change their language in school and at home, indicating that distinctions in the micro-hegemony correlate with the different settings. This allows individuals to blend their behavior into different cultures. Second, they introduce the concept of “enoughness,” </w:t>
      </w:r>
      <w:r w:rsidDel="00000000" w:rsidR="00000000" w:rsidRPr="00000000">
        <w:rPr>
          <w:rtl w:val="0"/>
        </w:rPr>
        <w:t xml:space="preserve">which according to the authors is “the benchmark for being admitted into an identity category as a ‘real’ or ‘authentic’ member,”where possessing “enough” emblematic features is a judgment often involving compromise rather than clear-cut criteria (Blommaert &amp; Varis, 2015, p. 7)</w:t>
      </w:r>
      <w:r w:rsidDel="00000000" w:rsidR="00000000" w:rsidRPr="00000000">
        <w:rPr>
          <w:rtl w:val="0"/>
        </w:rPr>
        <w:t xml:space="preserve">. Constraints membership in a given community by establishing the required standards of enoughness. This clarifies why young people in the Gulf change their behavior to fit these microhegemonies’ standards of enoughness, thereby helping them feel a sense of belonging in each community. This paper looks at how some scholars investigated linguistic shame and confusion among Gulf youth</w:t>
      </w:r>
      <w:r w:rsidDel="00000000" w:rsidR="00000000" w:rsidRPr="00000000">
        <w:rPr>
          <w:rtl w:val="0"/>
        </w:rPr>
        <w:t xml:space="preserve">, which</w:t>
      </w:r>
      <w:r w:rsidDel="00000000" w:rsidR="00000000" w:rsidRPr="00000000">
        <w:rPr>
          <w:rtl w:val="0"/>
        </w:rPr>
        <w:t xml:space="preserve"> are shaped by these micro-hegemonies and the pressure to achieve enoughness</w:t>
      </w:r>
      <w:r w:rsidDel="00000000" w:rsidR="00000000" w:rsidRPr="00000000">
        <w:rPr>
          <w:rtl w:val="0"/>
        </w:rPr>
        <w:t xml:space="preserve">. </w:t>
      </w:r>
      <w:r w:rsidDel="00000000" w:rsidR="00000000" w:rsidRPr="00000000">
        <w:rPr>
          <w:rtl w:val="0"/>
        </w:rPr>
        <w:t xml:space="preserve">In addition, the paper reveals how research done on the Gulf </w:t>
      </w:r>
      <w:r w:rsidDel="00000000" w:rsidR="00000000" w:rsidRPr="00000000">
        <w:rPr>
          <w:rtl w:val="0"/>
        </w:rPr>
        <w:t xml:space="preserve">looks</w:t>
      </w:r>
      <w:r w:rsidDel="00000000" w:rsidR="00000000" w:rsidRPr="00000000">
        <w:rPr>
          <w:rtl w:val="0"/>
        </w:rPr>
        <w:t xml:space="preserve"> translanguaging and how the community can help Gulf youth feel less ashamed and confused about using both English and Arabic.</w:t>
      </w:r>
    </w:p>
    <w:p w:rsidR="00000000" w:rsidDel="00000000" w:rsidP="00000000" w:rsidRDefault="00000000" w:rsidRPr="00000000" w14:paraId="00000007">
      <w:pPr>
        <w:spacing w:line="480" w:lineRule="auto"/>
        <w:rPr>
          <w:b w:val="1"/>
        </w:rPr>
      </w:pPr>
      <w:r w:rsidDel="00000000" w:rsidR="00000000" w:rsidRPr="00000000">
        <w:rPr>
          <w:rFonts w:ascii="Arial" w:cs="Arial" w:eastAsia="Arial" w:hAnsi="Arial"/>
          <w:b w:val="1"/>
          <w:rtl w:val="0"/>
        </w:rPr>
        <w:t xml:space="preserve">Educational Micro Hegemonies and Linguistic Shame</w:t>
      </w:r>
      <w:r w:rsidDel="00000000" w:rsidR="00000000" w:rsidRPr="00000000">
        <w:rPr>
          <w:rtl w:val="0"/>
        </w:rPr>
      </w:r>
    </w:p>
    <w:p w:rsidR="00000000" w:rsidDel="00000000" w:rsidP="00000000" w:rsidRDefault="00000000" w:rsidRPr="00000000" w14:paraId="00000008">
      <w:pPr>
        <w:spacing w:line="480" w:lineRule="auto"/>
        <w:ind w:firstLine="720"/>
        <w:rPr/>
      </w:pPr>
      <w:r w:rsidDel="00000000" w:rsidR="00000000" w:rsidRPr="00000000">
        <w:rPr>
          <w:rtl w:val="0"/>
        </w:rPr>
        <w:t xml:space="preserve">A major reason Gulf youth feel ashamed when mixing English and Arabic is the strict language rules enforced in both EMI IBCs and Arabic-speaking communities. Linguistic shame is the feeling of “embarrassment in using a language resulting from the social discourses and practices that denigrate the identities and outcomes attached to such language use” (Liyanage &amp; Canagarajah, 2019, in Hillman, 2022, p.216). Blommaert and Varis (2015) say that micro-hegemonies are valid in specific segments of life and behavior, and </w:t>
      </w:r>
      <w:r w:rsidDel="00000000" w:rsidR="00000000" w:rsidRPr="00000000">
        <w:rPr>
          <w:rtl w:val="0"/>
        </w:rPr>
        <w:t xml:space="preserve">provide</w:t>
      </w:r>
      <w:r w:rsidDel="00000000" w:rsidR="00000000" w:rsidRPr="00000000">
        <w:rPr>
          <w:rtl w:val="0"/>
        </w:rPr>
        <w:t xml:space="preserve"> the ‘most logical’ solution (or the ‘truth’) within these segments” (p.4). This means that in different parts of their lives, young people follow small rules that seem best for each situation. </w:t>
      </w:r>
      <w:r w:rsidDel="00000000" w:rsidR="00000000" w:rsidRPr="00000000">
        <w:rPr>
          <w:rtl w:val="0"/>
        </w:rPr>
        <w:t xml:space="preserve">This concept of micro hegemonies is noticed in Hillman's study on young Arabs' linguistics</w:t>
      </w:r>
      <w:r w:rsidDel="00000000" w:rsidR="00000000" w:rsidRPr="00000000">
        <w:rPr>
          <w:rtl w:val="0"/>
        </w:rPr>
        <w:t xml:space="preserve"> to explain how Gulf youth adjust their language to fit in and feel accepted. </w:t>
      </w:r>
      <w:r w:rsidDel="00000000" w:rsidR="00000000" w:rsidRPr="00000000">
        <w:rPr>
          <w:rtl w:val="0"/>
        </w:rPr>
        <w:t xml:space="preserve">To illustrate, at Qatar Foundation’s English-medium campuses, this micro-hegemony requires students to use English, making it the main language at school. So, students navigate conflicting cultural and linguistic expectations, switching between English in academic settings and Arabic in their homes. For example, “Participants like Ahmed struggle to find a sense of belonging amidst these “inverted realities” in which leaders support neoliberal English language ideologies, but their rhetoric a</w:t>
      </w:r>
      <w:r w:rsidDel="00000000" w:rsidR="00000000" w:rsidRPr="00000000">
        <w:rPr>
          <w:rtl w:val="0"/>
        </w:rPr>
        <w:t xml:space="preserve">lso evokes </w:t>
      </w:r>
      <w:r w:rsidDel="00000000" w:rsidR="00000000" w:rsidRPr="00000000">
        <w:rPr>
          <w:rtl w:val="0"/>
        </w:rPr>
        <w:t xml:space="preserve">shame regarding the status of Qatari national students’ Arabic skills” (Hillman, 2022, p. 227).This shows how small rules and expectations in school and home make students feel they need to separate each language to belong to their culture. This is because families and communities exert strong pressure </w:t>
      </w:r>
      <w:r w:rsidDel="00000000" w:rsidR="00000000" w:rsidRPr="00000000">
        <w:rPr>
          <w:rtl w:val="0"/>
        </w:rPr>
        <w:t xml:space="preserve">on</w:t>
      </w:r>
      <w:r w:rsidDel="00000000" w:rsidR="00000000" w:rsidRPr="00000000">
        <w:rPr>
          <w:rtl w:val="0"/>
        </w:rPr>
        <w:t xml:space="preserve"> youth to speak only "pure" Arabic, fearing that mixing languages may weaken both (Hopkyns et al., 2021). This is especially challenging for those raised in bilingual environments by having nannies who don’t speak Arabic, where parents worry that their children might lose a connection to their </w:t>
      </w:r>
      <w:r w:rsidDel="00000000" w:rsidR="00000000" w:rsidRPr="00000000">
        <w:rPr>
          <w:rFonts w:ascii="Arial" w:cs="Arial" w:eastAsia="Arial" w:hAnsi="Arial"/>
          <w:rtl w:val="0"/>
        </w:rPr>
        <w:t xml:space="preserve">linguistic and </w:t>
      </w:r>
      <w:r w:rsidDel="00000000" w:rsidR="00000000" w:rsidRPr="00000000">
        <w:rPr>
          <w:rtl w:val="0"/>
        </w:rPr>
        <w:t xml:space="preserve">cultural heritage (Taha-Thomure, 2022). </w:t>
      </w:r>
      <w:r w:rsidDel="00000000" w:rsidR="00000000" w:rsidRPr="00000000">
        <w:rPr>
          <w:rtl w:val="0"/>
        </w:rPr>
        <w:t xml:space="preserve">All these authors talked about different micro hegemonies and how each micro hegemony has its own enoughness; </w:t>
      </w:r>
      <w:r w:rsidDel="00000000" w:rsidR="00000000" w:rsidRPr="00000000">
        <w:rPr>
          <w:rFonts w:ascii="Arial" w:cs="Arial" w:eastAsia="Arial" w:hAnsi="Arial"/>
          <w:rtl w:val="0"/>
        </w:rPr>
        <w:t xml:space="preserve">Young people are told that they</w:t>
      </w:r>
      <w:r w:rsidDel="00000000" w:rsidR="00000000" w:rsidRPr="00000000">
        <w:rPr>
          <w:rtl w:val="0"/>
        </w:rPr>
        <w:t xml:space="preserve"> should have good English skills for studies because it gives them better chances of succeeding in the job market (Hillman, 2022, p. 215). In addition, </w:t>
      </w:r>
      <w:r w:rsidDel="00000000" w:rsidR="00000000" w:rsidRPr="00000000">
        <w:rPr>
          <w:rFonts w:ascii="Arial" w:cs="Arial" w:eastAsia="Arial" w:hAnsi="Arial"/>
          <w:rtl w:val="0"/>
        </w:rPr>
        <w:t xml:space="preserve">they’re also told that speaking</w:t>
      </w:r>
      <w:r w:rsidDel="00000000" w:rsidR="00000000" w:rsidRPr="00000000">
        <w:rPr>
          <w:rtl w:val="0"/>
        </w:rPr>
        <w:t xml:space="preserve"> pure Arabic with family and friends </w:t>
      </w:r>
      <w:r w:rsidDel="00000000" w:rsidR="00000000" w:rsidRPr="00000000">
        <w:rPr>
          <w:rFonts w:ascii="Arial" w:cs="Arial" w:eastAsia="Arial" w:hAnsi="Arial"/>
          <w:rtl w:val="0"/>
        </w:rPr>
        <w:t xml:space="preserve">is required for them </w:t>
      </w:r>
      <w:r w:rsidDel="00000000" w:rsidR="00000000" w:rsidRPr="00000000">
        <w:rPr>
          <w:rtl w:val="0"/>
        </w:rPr>
        <w:t xml:space="preserve">to </w:t>
      </w:r>
      <w:r w:rsidDel="00000000" w:rsidR="00000000" w:rsidRPr="00000000">
        <w:rPr>
          <w:rFonts w:ascii="Arial" w:cs="Arial" w:eastAsia="Arial" w:hAnsi="Arial"/>
          <w:rtl w:val="0"/>
        </w:rPr>
        <w:t xml:space="preserve">belong to the Qatari community</w:t>
      </w:r>
      <w:r w:rsidDel="00000000" w:rsidR="00000000" w:rsidRPr="00000000">
        <w:rPr>
          <w:rtl w:val="0"/>
        </w:rPr>
        <w:t xml:space="preserve"> because some people think it’s unnecessary to mix both (Hopkyns et al., 2021, p. 187) As a result, they experience “linguistic shame” and often feel they don’t fully belong to either space.</w:t>
      </w:r>
    </w:p>
    <w:p w:rsidR="00000000" w:rsidDel="00000000" w:rsidP="00000000" w:rsidRDefault="00000000" w:rsidRPr="00000000" w14:paraId="00000009">
      <w:pPr>
        <w:spacing w:line="480" w:lineRule="auto"/>
        <w:ind w:left="0" w:firstLine="0"/>
        <w:rPr/>
      </w:pPr>
      <w:r w:rsidDel="00000000" w:rsidR="00000000" w:rsidRPr="00000000">
        <w:rPr>
          <w:rFonts w:ascii="Arial" w:cs="Arial" w:eastAsia="Arial" w:hAnsi="Arial"/>
          <w:b w:val="1"/>
          <w:rtl w:val="0"/>
        </w:rPr>
        <w:t xml:space="preserve">Hybridity in the Gulf: How Youth Blend Arabic and English Amid Community Acceptance</w:t>
      </w:r>
      <w:r w:rsidDel="00000000" w:rsidR="00000000" w:rsidRPr="00000000">
        <w:rPr>
          <w:rtl w:val="0"/>
        </w:rPr>
      </w:r>
    </w:p>
    <w:p w:rsidR="00000000" w:rsidDel="00000000" w:rsidP="00000000" w:rsidRDefault="00000000" w:rsidRPr="00000000" w14:paraId="0000000A">
      <w:pPr>
        <w:spacing w:line="480" w:lineRule="auto"/>
        <w:ind w:firstLine="720"/>
        <w:rPr/>
      </w:pPr>
      <w:r w:rsidDel="00000000" w:rsidR="00000000" w:rsidRPr="00000000">
        <w:rPr>
          <w:rFonts w:ascii="Arial" w:cs="Arial" w:eastAsia="Arial" w:hAnsi="Arial"/>
          <w:rtl w:val="0"/>
        </w:rPr>
        <w:t xml:space="preserve">Young people in the Gulf often mix Arabic and English when they speak, creating new ways to express themselves in their everyday lives. </w:t>
      </w:r>
      <w:r w:rsidDel="00000000" w:rsidR="00000000" w:rsidRPr="00000000">
        <w:rPr>
          <w:rtl w:val="0"/>
        </w:rPr>
        <w:t xml:space="preserve">For many young people in the Gulf, this means adjusting how they speak depending on where they are and who they are with. To fit into different communities, they use a mix of Arabic and English, often blending these languages in creative ways, like Arabizi and translanguaging (Hopkyns et al., 2021).</w:t>
      </w:r>
      <w:r w:rsidDel="00000000" w:rsidR="00000000" w:rsidRPr="00000000">
        <w:rPr>
          <w:rtl w:val="0"/>
        </w:rPr>
        <w:t xml:space="preserve"> Arabizi is when young people write Arabic words using English letters and numbers, making it easier to type on phones or connect with friends online. Translanguaging, on the other hand, is when they switch between Arabic and English in the same conversation to express themselves more effectively, especially when one language doesn’t have the exact word they need. While language mixing helps Gulf youth navigate their daily lives, the community’s acceptance of this practice is mixed. Some people see language mixing as a natural way for young people to communicate in a modern, multicultural world. Yet, others worry that mixing Arabic and English might hurt both languages, making them less pure.</w:t>
      </w:r>
      <w:r w:rsidDel="00000000" w:rsidR="00000000" w:rsidRPr="00000000">
        <w:rPr>
          <w:rtl w:val="0"/>
        </w:rPr>
        <w:t xml:space="preserve"> In fact, a study found that about one-third of the community doesn’t like mixing the two languages. One person said, “It’s terrible because it doesn’t make sense to me. I think you either talk in English or in Arabic” (Hopkyns et al., 2021, p.</w:t>
      </w:r>
      <w:r w:rsidDel="00000000" w:rsidR="00000000" w:rsidRPr="00000000">
        <w:rPr>
          <w:rtl w:val="0"/>
        </w:rPr>
        <w:t xml:space="preserve"> 186). These negative opinions can make things hard for young people who use Arabizi or switch languages as part of who they are, especially challenging for young people who grew up with nannies who mostly spoke English. These youth may struggle with Arabic, making parents concerned that their children are losing a part of their culture (Taha-Thomure, 2022). Given the stated solutions provided by Hopkyns et al.,(2021), and Taha-Thomure (2022), f</w:t>
      </w:r>
      <w:r w:rsidDel="00000000" w:rsidR="00000000" w:rsidRPr="00000000">
        <w:rPr>
          <w:rtl w:val="0"/>
        </w:rPr>
        <w:t xml:space="preserve">amilies and communities can help these young people use both Arabic and English and communicate effectively instead of judging them for language hybridity. Schools can make safe places where students can talk about using both languages and sharing their feelings</w:t>
      </w:r>
      <w:r w:rsidDel="00000000" w:rsidR="00000000" w:rsidRPr="00000000">
        <w:rPr>
          <w:rtl w:val="0"/>
        </w:rPr>
        <w:t xml:space="preserve">(Hopkyns et al., 2021, p. 188)</w:t>
      </w:r>
      <w:r w:rsidDel="00000000" w:rsidR="00000000" w:rsidRPr="00000000">
        <w:rPr>
          <w:rtl w:val="0"/>
        </w:rPr>
        <w:t xml:space="preserve">. Families can praise children when they speak Arabic and English well, making them feel proud </w:t>
      </w:r>
      <w:r w:rsidDel="00000000" w:rsidR="00000000" w:rsidRPr="00000000">
        <w:rPr>
          <w:rtl w:val="0"/>
        </w:rPr>
        <w:t xml:space="preserve">(Taha-Thomure, 2022, p. 62)</w:t>
      </w:r>
      <w:r w:rsidDel="00000000" w:rsidR="00000000" w:rsidRPr="00000000">
        <w:rPr>
          <w:rtl w:val="0"/>
        </w:rPr>
        <w:t xml:space="preserve">. Communities can hold events that use both languages, so young people can enjoy their culture and their English skills. Schools and families can also provide things like bilingual books, language classes, and workshops to help kids feel confident in both languages. Offering counseling for students who feel bad about using both languages can also help. By creating a positive environment for using two languages, families and communities can help Gulf youth stay connected to their heritage and feel good about speaking both Arabic and English.</w:t>
      </w:r>
      <w:r w:rsidDel="00000000" w:rsidR="00000000" w:rsidRPr="00000000">
        <w:rPr>
          <w:rtl w:val="0"/>
        </w:rPr>
      </w:r>
    </w:p>
    <w:p w:rsidR="00000000" w:rsidDel="00000000" w:rsidP="00000000" w:rsidRDefault="00000000" w:rsidRPr="00000000" w14:paraId="0000000B">
      <w:pPr>
        <w:spacing w:line="480" w:lineRule="auto"/>
        <w:ind w:firstLine="720"/>
        <w:rPr/>
      </w:pPr>
      <w:r w:rsidDel="00000000" w:rsidR="00000000" w:rsidRPr="00000000">
        <w:rPr>
          <w:rtl w:val="0"/>
        </w:rPr>
        <w:t xml:space="preserve">Being multilingual in the Gulf can offer many benefits but also poses challenges for young people. The unwritten language rules in schools and high expectations from families and communities to not mix both English and Arabic create pressure, leading to linguistic shame and identity confusion. Switching between English for school and Arabic at home can make Gulf youth feel like they don’t fully belong anywhere. However, there are ways to help them. Schools can create safe places where students can talk openly in both languages. Families can celebrate speaking two languages, and communities can hold events in both English and Arabic. These actions can help young people handle challenges. Also, having resources like bilingual books, language classes, and counseling can help them feel confident with both languages. This support helps Gulf youth feel good about who they are and succeed in school and culture. Embracing different languages helps them build a strong and flexible sense of self. It also makes the Gulf community richer and more diverse.</w:t>
      </w:r>
      <w:r w:rsidDel="00000000" w:rsidR="00000000" w:rsidRPr="00000000">
        <w:rPr>
          <w:rtl w:val="0"/>
        </w:rPr>
      </w:r>
    </w:p>
    <w:p w:rsidR="00000000" w:rsidDel="00000000" w:rsidP="00000000" w:rsidRDefault="00000000" w:rsidRPr="00000000" w14:paraId="0000000C">
      <w:pPr>
        <w:spacing w:line="480" w:lineRule="auto"/>
        <w:ind w:firstLine="720"/>
        <w:rPr/>
      </w:pPr>
      <w:r w:rsidDel="00000000" w:rsidR="00000000" w:rsidRPr="00000000">
        <w:rPr>
          <w:rtl w:val="0"/>
        </w:rPr>
      </w:r>
    </w:p>
    <w:p w:rsidR="00000000" w:rsidDel="00000000" w:rsidP="00000000" w:rsidRDefault="00000000" w:rsidRPr="00000000" w14:paraId="0000000D">
      <w:pPr>
        <w:spacing w:line="480" w:lineRule="auto"/>
        <w:ind w:firstLine="720"/>
        <w:rPr/>
      </w:pPr>
      <w:r w:rsidDel="00000000" w:rsidR="00000000" w:rsidRPr="00000000">
        <w:rPr>
          <w:rtl w:val="0"/>
        </w:rPr>
      </w:r>
    </w:p>
    <w:p w:rsidR="00000000" w:rsidDel="00000000" w:rsidP="00000000" w:rsidRDefault="00000000" w:rsidRPr="00000000" w14:paraId="0000000E">
      <w:pPr>
        <w:spacing w:line="480" w:lineRule="auto"/>
        <w:ind w:firstLine="720"/>
        <w:rPr/>
      </w:pPr>
      <w:r w:rsidDel="00000000" w:rsidR="00000000" w:rsidRPr="00000000">
        <w:rPr>
          <w:rtl w:val="0"/>
        </w:rPr>
      </w:r>
    </w:p>
    <w:p w:rsidR="00000000" w:rsidDel="00000000" w:rsidP="00000000" w:rsidRDefault="00000000" w:rsidRPr="00000000" w14:paraId="0000000F">
      <w:pPr>
        <w:spacing w:line="480" w:lineRule="auto"/>
        <w:ind w:firstLine="720"/>
        <w:rPr/>
      </w:pPr>
      <w:r w:rsidDel="00000000" w:rsidR="00000000" w:rsidRPr="00000000">
        <w:rPr>
          <w:rtl w:val="0"/>
        </w:rPr>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spacing w:line="480" w:lineRule="auto"/>
        <w:jc w:val="left"/>
        <w:rPr>
          <w:b w:val="1"/>
        </w:rPr>
      </w:pPr>
      <w:r w:rsidDel="00000000" w:rsidR="00000000" w:rsidRPr="00000000">
        <w:rPr>
          <w:rtl w:val="0"/>
        </w:rPr>
      </w:r>
    </w:p>
    <w:p w:rsidR="00000000" w:rsidDel="00000000" w:rsidP="00000000" w:rsidRDefault="00000000" w:rsidRPr="00000000" w14:paraId="00000012">
      <w:pPr>
        <w:spacing w:line="480" w:lineRule="auto"/>
        <w:jc w:val="left"/>
        <w:rPr>
          <w:b w:val="1"/>
        </w:rPr>
      </w:pPr>
      <w:r w:rsidDel="00000000" w:rsidR="00000000" w:rsidRPr="00000000">
        <w:rPr>
          <w:rtl w:val="0"/>
        </w:rPr>
      </w:r>
    </w:p>
    <w:p w:rsidR="00000000" w:rsidDel="00000000" w:rsidP="00000000" w:rsidRDefault="00000000" w:rsidRPr="00000000" w14:paraId="00000013">
      <w:pPr>
        <w:spacing w:line="480" w:lineRule="auto"/>
        <w:jc w:val="left"/>
        <w:rPr>
          <w:b w:val="1"/>
        </w:rPr>
      </w:pPr>
      <w:r w:rsidDel="00000000" w:rsidR="00000000" w:rsidRPr="00000000">
        <w:rPr>
          <w:rtl w:val="0"/>
        </w:rPr>
      </w:r>
    </w:p>
    <w:p w:rsidR="00000000" w:rsidDel="00000000" w:rsidP="00000000" w:rsidRDefault="00000000" w:rsidRPr="00000000" w14:paraId="00000014">
      <w:pPr>
        <w:spacing w:line="480" w:lineRule="auto"/>
        <w:jc w:val="left"/>
        <w:rPr>
          <w:b w:val="1"/>
        </w:rPr>
      </w:pPr>
      <w:r w:rsidDel="00000000" w:rsidR="00000000" w:rsidRPr="00000000">
        <w:rPr>
          <w:rtl w:val="0"/>
        </w:rPr>
      </w:r>
    </w:p>
    <w:p w:rsidR="00000000" w:rsidDel="00000000" w:rsidP="00000000" w:rsidRDefault="00000000" w:rsidRPr="00000000" w14:paraId="00000015">
      <w:pPr>
        <w:spacing w:line="480" w:lineRule="auto"/>
        <w:jc w:val="left"/>
        <w:rPr>
          <w:b w:val="1"/>
        </w:rPr>
      </w:pPr>
      <w:r w:rsidDel="00000000" w:rsidR="00000000" w:rsidRPr="00000000">
        <w:rPr>
          <w:rtl w:val="0"/>
        </w:rPr>
      </w:r>
    </w:p>
    <w:p w:rsidR="00000000" w:rsidDel="00000000" w:rsidP="00000000" w:rsidRDefault="00000000" w:rsidRPr="00000000" w14:paraId="00000016">
      <w:pPr>
        <w:spacing w:line="480" w:lineRule="auto"/>
        <w:jc w:val="left"/>
        <w:rPr>
          <w:b w:val="1"/>
        </w:rPr>
      </w:pPr>
      <w:r w:rsidDel="00000000" w:rsidR="00000000" w:rsidRPr="00000000">
        <w:rPr>
          <w:rtl w:val="0"/>
        </w:rPr>
      </w:r>
    </w:p>
    <w:p w:rsidR="00000000" w:rsidDel="00000000" w:rsidP="00000000" w:rsidRDefault="00000000" w:rsidRPr="00000000" w14:paraId="00000017">
      <w:pPr>
        <w:spacing w:line="480" w:lineRule="auto"/>
        <w:jc w:val="left"/>
        <w:rPr>
          <w:b w:val="1"/>
        </w:rPr>
      </w:pPr>
      <w:r w:rsidDel="00000000" w:rsidR="00000000" w:rsidRPr="00000000">
        <w:rPr>
          <w:rtl w:val="0"/>
        </w:rPr>
      </w:r>
    </w:p>
    <w:p w:rsidR="00000000" w:rsidDel="00000000" w:rsidP="00000000" w:rsidRDefault="00000000" w:rsidRPr="00000000" w14:paraId="00000018">
      <w:pPr>
        <w:spacing w:line="480" w:lineRule="auto"/>
        <w:jc w:val="left"/>
        <w:rPr>
          <w:b w:val="1"/>
        </w:rPr>
      </w:pPr>
      <w:r w:rsidDel="00000000" w:rsidR="00000000" w:rsidRPr="00000000">
        <w:rPr>
          <w:rtl w:val="0"/>
        </w:rPr>
      </w:r>
    </w:p>
    <w:p w:rsidR="00000000" w:rsidDel="00000000" w:rsidP="00000000" w:rsidRDefault="00000000" w:rsidRPr="00000000" w14:paraId="00000019">
      <w:pPr>
        <w:spacing w:line="480" w:lineRule="auto"/>
        <w:jc w:val="left"/>
        <w:rPr>
          <w:b w:val="1"/>
        </w:rPr>
      </w:pPr>
      <w:r w:rsidDel="00000000" w:rsidR="00000000" w:rsidRPr="00000000">
        <w:rPr>
          <w:rtl w:val="0"/>
        </w:rPr>
      </w:r>
    </w:p>
    <w:p w:rsidR="00000000" w:rsidDel="00000000" w:rsidP="00000000" w:rsidRDefault="00000000" w:rsidRPr="00000000" w14:paraId="0000001A">
      <w:pPr>
        <w:spacing w:line="480" w:lineRule="auto"/>
        <w:jc w:val="left"/>
        <w:rPr>
          <w:b w:val="1"/>
        </w:rPr>
      </w:pPr>
      <w:r w:rsidDel="00000000" w:rsidR="00000000" w:rsidRPr="00000000">
        <w:rPr>
          <w:rtl w:val="0"/>
        </w:rPr>
      </w:r>
    </w:p>
    <w:p w:rsidR="00000000" w:rsidDel="00000000" w:rsidP="00000000" w:rsidRDefault="00000000" w:rsidRPr="00000000" w14:paraId="0000001B">
      <w:pPr>
        <w:spacing w:line="480" w:lineRule="auto"/>
        <w:jc w:val="left"/>
        <w:rPr>
          <w:b w:val="1"/>
        </w:rPr>
      </w:pPr>
      <w:r w:rsidDel="00000000" w:rsidR="00000000" w:rsidRPr="00000000">
        <w:rPr>
          <w:rtl w:val="0"/>
        </w:rPr>
      </w:r>
    </w:p>
    <w:p w:rsidR="00000000" w:rsidDel="00000000" w:rsidP="00000000" w:rsidRDefault="00000000" w:rsidRPr="00000000" w14:paraId="0000001C">
      <w:pPr>
        <w:spacing w:line="480" w:lineRule="auto"/>
        <w:jc w:val="left"/>
        <w:rPr>
          <w:b w:val="1"/>
        </w:rPr>
      </w:pPr>
      <w:r w:rsidDel="00000000" w:rsidR="00000000" w:rsidRPr="00000000">
        <w:rPr>
          <w:rtl w:val="0"/>
        </w:rPr>
      </w:r>
    </w:p>
    <w:p w:rsidR="00000000" w:rsidDel="00000000" w:rsidP="00000000" w:rsidRDefault="00000000" w:rsidRPr="00000000" w14:paraId="0000001D">
      <w:pPr>
        <w:spacing w:line="480" w:lineRule="auto"/>
        <w:jc w:val="left"/>
        <w:rPr>
          <w:b w:val="1"/>
        </w:rPr>
      </w:pPr>
      <w:r w:rsidDel="00000000" w:rsidR="00000000" w:rsidRPr="00000000">
        <w:rPr>
          <w:rtl w:val="0"/>
        </w:rPr>
      </w:r>
    </w:p>
    <w:p w:rsidR="00000000" w:rsidDel="00000000" w:rsidP="00000000" w:rsidRDefault="00000000" w:rsidRPr="00000000" w14:paraId="0000001E">
      <w:pPr>
        <w:spacing w:line="480" w:lineRule="auto"/>
        <w:jc w:val="left"/>
        <w:rPr>
          <w:b w:val="1"/>
        </w:rPr>
      </w:pPr>
      <w:r w:rsidDel="00000000" w:rsidR="00000000" w:rsidRPr="00000000">
        <w:rPr>
          <w:rtl w:val="0"/>
        </w:rPr>
      </w:r>
    </w:p>
    <w:p w:rsidR="00000000" w:rsidDel="00000000" w:rsidP="00000000" w:rsidRDefault="00000000" w:rsidRPr="00000000" w14:paraId="0000001F">
      <w:pPr>
        <w:spacing w:line="480" w:lineRule="auto"/>
        <w:jc w:val="left"/>
        <w:rPr>
          <w:b w:val="1"/>
        </w:rPr>
      </w:pPr>
      <w:r w:rsidDel="00000000" w:rsidR="00000000" w:rsidRPr="00000000">
        <w:rPr>
          <w:rtl w:val="0"/>
        </w:rPr>
      </w:r>
    </w:p>
    <w:p w:rsidR="00000000" w:rsidDel="00000000" w:rsidP="00000000" w:rsidRDefault="00000000" w:rsidRPr="00000000" w14:paraId="00000020">
      <w:pPr>
        <w:spacing w:line="480" w:lineRule="auto"/>
        <w:jc w:val="left"/>
        <w:rPr>
          <w:b w:val="1"/>
        </w:rPr>
      </w:pPr>
      <w:r w:rsidDel="00000000" w:rsidR="00000000" w:rsidRPr="00000000">
        <w:rPr>
          <w:rtl w:val="0"/>
        </w:rPr>
      </w:r>
    </w:p>
    <w:p w:rsidR="00000000" w:rsidDel="00000000" w:rsidP="00000000" w:rsidRDefault="00000000" w:rsidRPr="00000000" w14:paraId="00000021">
      <w:pPr>
        <w:spacing w:line="480" w:lineRule="auto"/>
        <w:jc w:val="left"/>
        <w:rPr>
          <w:b w:val="1"/>
        </w:rPr>
      </w:pPr>
      <w:r w:rsidDel="00000000" w:rsidR="00000000" w:rsidRPr="00000000">
        <w:rPr>
          <w:rtl w:val="0"/>
        </w:rPr>
      </w:r>
    </w:p>
    <w:p w:rsidR="00000000" w:rsidDel="00000000" w:rsidP="00000000" w:rsidRDefault="00000000" w:rsidRPr="00000000" w14:paraId="00000022">
      <w:pPr>
        <w:spacing w:line="480" w:lineRule="auto"/>
        <w:jc w:val="center"/>
        <w:rPr>
          <w:b w:val="1"/>
        </w:rPr>
      </w:pPr>
      <w:r w:rsidDel="00000000" w:rsidR="00000000" w:rsidRPr="00000000">
        <w:rPr>
          <w:b w:val="1"/>
          <w:rtl w:val="0"/>
        </w:rPr>
        <w:t xml:space="preserve">References</w:t>
      </w:r>
      <w:r w:rsidDel="00000000" w:rsidR="00000000" w:rsidRPr="00000000">
        <w:rPr>
          <w:rtl w:val="0"/>
        </w:rPr>
      </w:r>
    </w:p>
    <w:p w:rsidR="00000000" w:rsidDel="00000000" w:rsidP="00000000" w:rsidRDefault="00000000" w:rsidRPr="00000000" w14:paraId="00000023">
      <w:pPr>
        <w:spacing w:line="480" w:lineRule="auto"/>
        <w:ind w:left="720" w:hanging="720"/>
        <w:rPr/>
      </w:pPr>
      <w:r w:rsidDel="00000000" w:rsidR="00000000" w:rsidRPr="00000000">
        <w:rPr>
          <w:rtl w:val="0"/>
        </w:rPr>
        <w:t xml:space="preserve">Blommaert, J., &amp; Varis, P. (2015). Enough is enough: The heuristics of authenticity in    superdiversity. In (Eds.) J. Blommaert and P. Varis, Enoughness, accent and light communities: Essays on contemporary identities(pp.4-14). Tilburg Papers in Culture Studies, 139. Tilburg University.</w:t>
      </w:r>
    </w:p>
    <w:p w:rsidR="00000000" w:rsidDel="00000000" w:rsidP="00000000" w:rsidRDefault="00000000" w:rsidRPr="00000000" w14:paraId="00000024">
      <w:pPr>
        <w:spacing w:line="480" w:lineRule="auto"/>
        <w:ind w:left="720" w:hanging="720"/>
        <w:rPr/>
      </w:pPr>
      <w:r w:rsidDel="00000000" w:rsidR="00000000" w:rsidRPr="00000000">
        <w:rPr>
          <w:rtl w:val="0"/>
        </w:rPr>
        <w:t xml:space="preserve">Hillman, S. (2022).  Navigating identity and belonging as international branch campus students: The role of linguistic shame. In S. Hopkyns &amp; W. Zoghbor (Eds), </w:t>
      </w:r>
      <w:r w:rsidDel="00000000" w:rsidR="00000000" w:rsidRPr="00000000">
        <w:rPr>
          <w:i w:val="1"/>
          <w:rtl w:val="0"/>
        </w:rPr>
        <w:t xml:space="preserve">Linguistic identities in the Arab Gulf states: Waves of change </w:t>
      </w:r>
      <w:r w:rsidDel="00000000" w:rsidR="00000000" w:rsidRPr="00000000">
        <w:rPr>
          <w:rtl w:val="0"/>
        </w:rPr>
        <w:t xml:space="preserve">(pp. 215-230).</w:t>
      </w:r>
      <w:r w:rsidDel="00000000" w:rsidR="00000000" w:rsidRPr="00000000">
        <w:rPr>
          <w:i w:val="1"/>
          <w:rtl w:val="0"/>
        </w:rPr>
        <w:t xml:space="preserve"> </w:t>
      </w:r>
      <w:r w:rsidDel="00000000" w:rsidR="00000000" w:rsidRPr="00000000">
        <w:rPr>
          <w:rtl w:val="0"/>
        </w:rPr>
        <w:t xml:space="preserve">Routledge. </w:t>
      </w:r>
    </w:p>
    <w:p w:rsidR="00000000" w:rsidDel="00000000" w:rsidP="00000000" w:rsidRDefault="00000000" w:rsidRPr="00000000" w14:paraId="00000025">
      <w:pPr>
        <w:spacing w:line="480" w:lineRule="auto"/>
        <w:ind w:left="720" w:hanging="720"/>
        <w:rPr/>
      </w:pPr>
      <w:r w:rsidDel="00000000" w:rsidR="00000000" w:rsidRPr="00000000">
        <w:rPr>
          <w:rtl w:val="0"/>
        </w:rPr>
        <w:t xml:space="preserve">Hopkyns S., Zoghbor, W., &amp; Hassall, P. J. (2021). The use of English and linguistic hybridity among Emirati millennials. </w:t>
      </w:r>
      <w:r w:rsidDel="00000000" w:rsidR="00000000" w:rsidRPr="00000000">
        <w:rPr>
          <w:i w:val="1"/>
          <w:rtl w:val="0"/>
        </w:rPr>
        <w:t xml:space="preserve">World Englishes</w:t>
      </w:r>
      <w:r w:rsidDel="00000000" w:rsidR="00000000" w:rsidRPr="00000000">
        <w:rPr>
          <w:rtl w:val="0"/>
        </w:rPr>
        <w:t xml:space="preserve">, </w:t>
      </w:r>
      <w:r w:rsidDel="00000000" w:rsidR="00000000" w:rsidRPr="00000000">
        <w:rPr>
          <w:i w:val="1"/>
          <w:rtl w:val="0"/>
        </w:rPr>
        <w:t xml:space="preserve">40</w:t>
      </w:r>
      <w:r w:rsidDel="00000000" w:rsidR="00000000" w:rsidRPr="00000000">
        <w:rPr>
          <w:rtl w:val="0"/>
        </w:rPr>
        <w:t xml:space="preserve">, 176–190.</w:t>
      </w:r>
    </w:p>
    <w:p w:rsidR="00000000" w:rsidDel="00000000" w:rsidP="00000000" w:rsidRDefault="00000000" w:rsidRPr="00000000" w14:paraId="00000026">
      <w:pPr>
        <w:spacing w:line="480" w:lineRule="auto"/>
        <w:ind w:left="720"/>
        <w:rPr/>
      </w:pPr>
      <w:r w:rsidDel="00000000" w:rsidR="00000000" w:rsidRPr="00000000">
        <w:rPr>
          <w:rtl w:val="0"/>
        </w:rPr>
        <w:t xml:space="preserve">Liyanage, I., &amp; Canagarajah, S. (2019). Shame in English language teaching: Desirable pedagogical possibilities for Kiribati in neoliberal times. TESOL Quarterly, 53(2), 430–455.</w:t>
      </w:r>
    </w:p>
    <w:p w:rsidR="00000000" w:rsidDel="00000000" w:rsidP="00000000" w:rsidRDefault="00000000" w:rsidRPr="00000000" w14:paraId="00000027">
      <w:pPr>
        <w:spacing w:line="480" w:lineRule="auto"/>
        <w:ind w:left="720" w:hanging="720"/>
        <w:rPr>
          <w:i w:val="1"/>
        </w:rPr>
      </w:pPr>
      <w:r w:rsidDel="00000000" w:rsidR="00000000" w:rsidRPr="00000000">
        <w:rPr>
          <w:rtl w:val="0"/>
        </w:rPr>
        <w:t xml:space="preserve">Taha-Thomure, H. (2022). No Mary Poppins in sight: Linguistic effects of the nanny culture on Gulf identities. In S. Hopkyns &amp; W. Zoghbor (Eds), </w:t>
      </w:r>
      <w:r w:rsidDel="00000000" w:rsidR="00000000" w:rsidRPr="00000000">
        <w:rPr>
          <w:i w:val="1"/>
          <w:rtl w:val="0"/>
        </w:rPr>
        <w:t xml:space="preserve">Linguistic identities in the Arab Gulf states: Waves of change</w:t>
      </w:r>
      <w:r w:rsidDel="00000000" w:rsidR="00000000" w:rsidRPr="00000000">
        <w:rPr>
          <w:rtl w:val="0"/>
        </w:rPr>
        <w:t xml:space="preserve"> (Eds.), </w:t>
      </w:r>
      <w:r w:rsidDel="00000000" w:rsidR="00000000" w:rsidRPr="00000000">
        <w:rPr>
          <w:i w:val="1"/>
          <w:rtl w:val="0"/>
        </w:rPr>
        <w:t xml:space="preserve">Linguistic identities in the Arab Gulf states: Waves of change </w:t>
      </w:r>
      <w:r w:rsidDel="00000000" w:rsidR="00000000" w:rsidRPr="00000000">
        <w:rPr>
          <w:rtl w:val="0"/>
        </w:rPr>
        <w:t xml:space="preserve">(pp. 52-66). </w:t>
      </w:r>
      <w:r w:rsidDel="00000000" w:rsidR="00000000" w:rsidRPr="00000000">
        <w:rPr>
          <w:rtl w:val="0"/>
        </w:rPr>
      </w:r>
    </w:p>
    <w:p w:rsidR="00000000" w:rsidDel="00000000" w:rsidP="00000000" w:rsidRDefault="00000000" w:rsidRPr="00000000" w14:paraId="00000028">
      <w:pPr>
        <w:spacing w:line="480" w:lineRule="auto"/>
        <w:rPr>
          <w:i w:val="1"/>
        </w:rPr>
      </w:pPr>
      <w:r w:rsidDel="00000000" w:rsidR="00000000" w:rsidRPr="00000000">
        <w:rPr>
          <w:rtl w:val="0"/>
        </w:rPr>
      </w:r>
    </w:p>
    <w:p w:rsidR="00000000" w:rsidDel="00000000" w:rsidP="00000000" w:rsidRDefault="00000000" w:rsidRPr="00000000" w14:paraId="00000029">
      <w:pPr>
        <w:spacing w:line="480" w:lineRule="auto"/>
        <w:rPr>
          <w:i w:val="1"/>
        </w:rPr>
      </w:pPr>
      <w:r w:rsidDel="00000000" w:rsidR="00000000" w:rsidRPr="00000000">
        <w:rPr>
          <w:i w:val="1"/>
          <w:rtl w:val="0"/>
        </w:rPr>
        <w:t xml:space="preserve">“For this paper, I visited Sheren Saad three times. She helped me rearrange my introduction and my subclaims.”</w:t>
      </w:r>
    </w:p>
    <w:sectPr>
      <w:headerReference r:id="rId7" w:type="default"/>
      <w:headerReference r:id="rId8" w:type="even"/>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Aptos"/>
  <w:font w:name="Play">
    <w:embedRegular w:fontKey="{00000000-0000-0000-0000-000000000000}" r:id="rId1" w:subsetted="0"/>
    <w:embedBold w:fontKey="{00000000-0000-0000-0000-000000000000}" r:id="rId2"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right"/>
      <w:rPr>
        <w:rFonts w:ascii="Aptos" w:cs="Aptos" w:eastAsia="Aptos" w:hAnsi="Aptos"/>
        <w:b w:val="0"/>
        <w:i w:val="0"/>
        <w:smallCaps w:val="0"/>
        <w:strike w:val="0"/>
        <w:color w:val="000000"/>
        <w:sz w:val="24"/>
        <w:szCs w:val="24"/>
        <w:u w:val="none"/>
        <w:shd w:fill="auto" w:val="clear"/>
        <w:vertAlign w:val="baseline"/>
      </w:rPr>
    </w:pPr>
    <w:r w:rsidDel="00000000" w:rsidR="00000000" w:rsidRPr="00000000">
      <w:rPr>
        <w:rFonts w:ascii="Aptos" w:cs="Aptos" w:eastAsia="Aptos" w:hAnsi="Aptos"/>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360" w:firstLine="0"/>
      <w:jc w:val="right"/>
      <w:rPr>
        <w:rFonts w:ascii="Aptos" w:cs="Aptos" w:eastAsia="Aptos" w:hAnsi="Aptos"/>
        <w:b w:val="0"/>
        <w:i w:val="0"/>
        <w:smallCaps w:val="0"/>
        <w:strike w:val="0"/>
        <w:color w:val="000000"/>
        <w:sz w:val="24"/>
        <w:szCs w:val="24"/>
        <w:u w:val="none"/>
        <w:shd w:fill="auto" w:val="clear"/>
        <w:vertAlign w:val="baseline"/>
      </w:rPr>
    </w:pPr>
    <w:r w:rsidDel="00000000" w:rsidR="00000000" w:rsidRPr="00000000">
      <w:rPr>
        <w:rtl w:val="0"/>
      </w:rPr>
      <w:t xml:space="preserve">Metwaly</w: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right"/>
      <w:rPr>
        <w:rFonts w:ascii="Aptos" w:cs="Aptos" w:eastAsia="Aptos" w:hAnsi="Aptos"/>
        <w:b w:val="0"/>
        <w:i w:val="0"/>
        <w:smallCaps w:val="0"/>
        <w:strike w:val="0"/>
        <w:color w:val="000000"/>
        <w:sz w:val="24"/>
        <w:szCs w:val="24"/>
        <w:u w:val="none"/>
        <w:shd w:fill="auto" w:val="clear"/>
        <w:vertAlign w:val="baseline"/>
      </w:rPr>
    </w:pPr>
    <w:r w:rsidDel="00000000" w:rsidR="00000000" w:rsidRPr="00000000">
      <w:rPr>
        <w:rFonts w:ascii="Aptos" w:cs="Aptos" w:eastAsia="Aptos" w:hAnsi="Aptos"/>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360" w:firstLine="0"/>
      <w:jc w:val="left"/>
      <w:rPr>
        <w:rFonts w:ascii="Aptos" w:cs="Aptos" w:eastAsia="Aptos" w:hAnsi="Aptos"/>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ptos" w:cs="Aptos" w:eastAsia="Aptos" w:hAnsi="Aptos"/>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before="40" w:lineRule="auto"/>
    </w:pPr>
    <w:rPr>
      <w:i w:val="1"/>
      <w:color w:val="595959"/>
    </w:rPr>
  </w:style>
  <w:style w:type="paragraph" w:styleId="Title">
    <w:name w:val="Title"/>
    <w:basedOn w:val="Normal"/>
    <w:next w:val="Normal"/>
    <w:pPr>
      <w:spacing w:after="80" w:lineRule="auto"/>
    </w:pPr>
    <w:rPr>
      <w:rFonts w:ascii="Play" w:cs="Play" w:eastAsia="Play" w:hAnsi="Play"/>
      <w:sz w:val="56"/>
      <w:szCs w:val="56"/>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before="40" w:lineRule="auto"/>
    </w:pPr>
    <w:rPr>
      <w:i w:val="1"/>
      <w:color w:val="595959"/>
    </w:rPr>
  </w:style>
  <w:style w:type="paragraph" w:styleId="Title">
    <w:name w:val="Title"/>
    <w:basedOn w:val="Normal"/>
    <w:next w:val="Normal"/>
    <w:pPr>
      <w:spacing w:after="80" w:lineRule="auto"/>
    </w:pPr>
    <w:rPr>
      <w:rFonts w:ascii="Play" w:cs="Play" w:eastAsia="Play" w:hAnsi="Play"/>
      <w:sz w:val="56"/>
      <w:szCs w:val="56"/>
    </w:rPr>
  </w:style>
  <w:style w:type="paragraph" w:styleId="Subtitle">
    <w:name w:val="Subtitle"/>
    <w:basedOn w:val="Normal"/>
    <w:next w:val="Normal"/>
    <w:pPr>
      <w:spacing w:after="160" w:lineRule="auto"/>
    </w:pPr>
    <w:rPr>
      <w:color w:val="595959"/>
      <w:sz w:val="28"/>
      <w:szCs w:val="28"/>
    </w:rPr>
  </w:style>
  <w:style w:type="paragraph" w:styleId="Subtitle">
    <w:name w:val="Subtitle"/>
    <w:basedOn w:val="Normal"/>
    <w:next w:val="Normal"/>
    <w:pPr>
      <w:spacing w:after="160" w:lineRule="auto"/>
    </w:pPr>
    <w:rPr>
      <w:color w:val="595959"/>
      <w:sz w:val="28"/>
      <w:szCs w:val="2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header" Target="header2.xml"/></Relationships>
</file>

<file path=word/_rels/fontTable.xml.rels><?xml version="1.0" encoding="UTF-8" standalone="yes"?><Relationships xmlns="http://schemas.openxmlformats.org/package/2006/relationships"><Relationship Id="rId1" Type="http://schemas.openxmlformats.org/officeDocument/2006/relationships/font" Target="fonts/Play-regular.ttf"/><Relationship Id="rId2" Type="http://schemas.openxmlformats.org/officeDocument/2006/relationships/font" Target="fonts/Play-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yoVHQoPgLBgIcw874bEIwwkgv2Q==">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